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B21" w:rsidRDefault="006E6B21" w:rsidP="00514D4B">
      <w:pPr>
        <w:rPr>
          <w:rFonts w:ascii="Century Schoolbook" w:hAnsi="Century Schoolbook"/>
          <w:sz w:val="24"/>
        </w:rPr>
      </w:pPr>
      <w:proofErr w:type="spellStart"/>
      <w:r w:rsidRPr="006E6B21">
        <w:rPr>
          <w:rFonts w:ascii="Century Schoolbook" w:hAnsi="Century Schoolbook"/>
          <w:sz w:val="24"/>
        </w:rPr>
        <w:t>Ojar</w:t>
      </w:r>
      <w:proofErr w:type="spellEnd"/>
      <w:r w:rsidRPr="006E6B21">
        <w:rPr>
          <w:rFonts w:ascii="Century Schoolbook" w:hAnsi="Century Schoolbook"/>
          <w:sz w:val="24"/>
        </w:rPr>
        <w:t xml:space="preserve">, Shane </w:t>
      </w:r>
      <w:hyperlink r:id="rId8" w:history="1">
        <w:r w:rsidRPr="006E6B21">
          <w:rPr>
            <w:rStyle w:val="Hyperlink"/>
            <w:rFonts w:ascii="Century Schoolbook" w:hAnsi="Century Schoolbook"/>
            <w:sz w:val="24"/>
          </w:rPr>
          <w:t>SOjar@dep.nyc.gov</w:t>
        </w:r>
      </w:hyperlink>
    </w:p>
    <w:p w:rsidR="006E6B21" w:rsidRDefault="006E6B21" w:rsidP="00514D4B">
      <w:pPr>
        <w:rPr>
          <w:rFonts w:ascii="Century Schoolbook" w:hAnsi="Century Schoolbook"/>
          <w:sz w:val="24"/>
        </w:rPr>
      </w:pPr>
      <w:r w:rsidRPr="006E6B21">
        <w:rPr>
          <w:rFonts w:ascii="Century Schoolbook" w:hAnsi="Century Schoolbook"/>
          <w:sz w:val="24"/>
        </w:rPr>
        <w:t xml:space="preserve">Thomas </w:t>
      </w:r>
      <w:proofErr w:type="spellStart"/>
      <w:r w:rsidRPr="006E6B21">
        <w:rPr>
          <w:rFonts w:ascii="Century Schoolbook" w:hAnsi="Century Schoolbook"/>
          <w:sz w:val="24"/>
        </w:rPr>
        <w:t>Panzone</w:t>
      </w:r>
      <w:proofErr w:type="spellEnd"/>
      <w:r w:rsidRPr="006E6B21">
        <w:rPr>
          <w:rFonts w:ascii="Century Schoolbook" w:hAnsi="Century Schoolbook"/>
          <w:sz w:val="24"/>
        </w:rPr>
        <w:t xml:space="preserve"> </w:t>
      </w:r>
      <w:hyperlink r:id="rId9" w:history="1">
        <w:r w:rsidRPr="001D7B57">
          <w:rPr>
            <w:rStyle w:val="Hyperlink"/>
            <w:rFonts w:ascii="Century Schoolbook" w:hAnsi="Century Schoolbook"/>
            <w:sz w:val="24"/>
          </w:rPr>
          <w:t>tvpanzon@gw.dec.state.ny.us</w:t>
        </w:r>
      </w:hyperlink>
    </w:p>
    <w:p w:rsidR="006E6B21" w:rsidRDefault="006E6B21" w:rsidP="00514D4B">
      <w:pPr>
        <w:rPr>
          <w:rFonts w:ascii="Century Schoolbook" w:hAnsi="Century Schoolbook"/>
          <w:sz w:val="24"/>
        </w:rPr>
      </w:pPr>
      <w:proofErr w:type="spellStart"/>
      <w:r w:rsidRPr="006E6B21">
        <w:rPr>
          <w:rFonts w:ascii="Century Schoolbook" w:hAnsi="Century Schoolbook"/>
          <w:sz w:val="24"/>
        </w:rPr>
        <w:t>Gratz.Jeff</w:t>
      </w:r>
      <w:proofErr w:type="spellEnd"/>
      <w:r w:rsidRPr="006E6B21">
        <w:rPr>
          <w:rFonts w:ascii="Century Schoolbook" w:hAnsi="Century Schoolbook"/>
          <w:sz w:val="24"/>
        </w:rPr>
        <w:t xml:space="preserve"> </w:t>
      </w:r>
      <w:hyperlink r:id="rId10" w:history="1">
        <w:r w:rsidRPr="001D7B57">
          <w:rPr>
            <w:rStyle w:val="Hyperlink"/>
            <w:rFonts w:ascii="Century Schoolbook" w:hAnsi="Century Schoolbook"/>
            <w:sz w:val="24"/>
          </w:rPr>
          <w:t>Gratz.Jeff@epa.gov</w:t>
        </w:r>
      </w:hyperlink>
    </w:p>
    <w:p w:rsidR="006E6B21" w:rsidRDefault="006E6B21" w:rsidP="00514D4B">
      <w:pPr>
        <w:rPr>
          <w:rFonts w:ascii="Century Schoolbook" w:hAnsi="Century Schoolbook"/>
          <w:sz w:val="24"/>
        </w:rPr>
      </w:pPr>
      <w:proofErr w:type="spellStart"/>
      <w:r w:rsidRPr="006E6B21">
        <w:rPr>
          <w:rFonts w:ascii="Century Schoolbook" w:hAnsi="Century Schoolbook"/>
          <w:sz w:val="24"/>
        </w:rPr>
        <w:t>walter.matystik</w:t>
      </w:r>
      <w:proofErr w:type="spellEnd"/>
      <w:r w:rsidRPr="006E6B21">
        <w:rPr>
          <w:rFonts w:ascii="Century Schoolbook" w:hAnsi="Century Schoolbook"/>
          <w:sz w:val="24"/>
        </w:rPr>
        <w:t xml:space="preserve"> </w:t>
      </w:r>
      <w:hyperlink r:id="rId11" w:history="1">
        <w:r w:rsidRPr="001D7B57">
          <w:rPr>
            <w:rStyle w:val="Hyperlink"/>
            <w:rFonts w:ascii="Century Schoolbook" w:hAnsi="Century Schoolbook"/>
            <w:sz w:val="24"/>
          </w:rPr>
          <w:t>walter.matystik@manhattan.edu</w:t>
        </w:r>
      </w:hyperlink>
    </w:p>
    <w:p w:rsidR="006E6B21" w:rsidRDefault="006E6B21" w:rsidP="00514D4B">
      <w:pPr>
        <w:rPr>
          <w:rFonts w:ascii="Century Schoolbook" w:hAnsi="Century Schoolbook"/>
          <w:sz w:val="24"/>
        </w:rPr>
      </w:pPr>
      <w:proofErr w:type="spellStart"/>
      <w:proofErr w:type="gramStart"/>
      <w:r w:rsidRPr="006E6B21">
        <w:rPr>
          <w:rFonts w:ascii="Century Schoolbook" w:hAnsi="Century Schoolbook"/>
          <w:sz w:val="24"/>
        </w:rPr>
        <w:t>dartwestphal</w:t>
      </w:r>
      <w:proofErr w:type="spellEnd"/>
      <w:proofErr w:type="gramEnd"/>
      <w:r w:rsidRPr="006E6B21">
        <w:rPr>
          <w:rFonts w:ascii="Century Schoolbook" w:hAnsi="Century Schoolbook"/>
          <w:sz w:val="24"/>
        </w:rPr>
        <w:t xml:space="preserve"> </w:t>
      </w:r>
      <w:hyperlink r:id="rId12" w:history="1">
        <w:r w:rsidRPr="001D7B57">
          <w:rPr>
            <w:rStyle w:val="Hyperlink"/>
            <w:rFonts w:ascii="Century Schoolbook" w:hAnsi="Century Schoolbook"/>
            <w:sz w:val="24"/>
          </w:rPr>
          <w:t>dartwestphal@gmail.com</w:t>
        </w:r>
      </w:hyperlink>
    </w:p>
    <w:p w:rsidR="006E6B21" w:rsidRDefault="006E6B21" w:rsidP="00514D4B">
      <w:pPr>
        <w:rPr>
          <w:rFonts w:ascii="Century Schoolbook" w:hAnsi="Century Schoolbook"/>
          <w:sz w:val="24"/>
        </w:rPr>
      </w:pPr>
      <w:proofErr w:type="spellStart"/>
      <w:proofErr w:type="gramStart"/>
      <w:r w:rsidRPr="006E6B21">
        <w:rPr>
          <w:rFonts w:ascii="Century Schoolbook" w:hAnsi="Century Schoolbook"/>
          <w:sz w:val="24"/>
        </w:rPr>
        <w:t>llevine</w:t>
      </w:r>
      <w:proofErr w:type="spellEnd"/>
      <w:proofErr w:type="gramEnd"/>
      <w:r w:rsidRPr="006E6B21">
        <w:rPr>
          <w:rFonts w:ascii="Century Schoolbook" w:hAnsi="Century Schoolbook"/>
          <w:sz w:val="24"/>
        </w:rPr>
        <w:t xml:space="preserve"> </w:t>
      </w:r>
      <w:hyperlink r:id="rId13" w:history="1">
        <w:r w:rsidRPr="001D7B57">
          <w:rPr>
            <w:rStyle w:val="Hyperlink"/>
            <w:rFonts w:ascii="Century Schoolbook" w:hAnsi="Century Schoolbook"/>
            <w:sz w:val="24"/>
          </w:rPr>
          <w:t>llevine@nrdc.org</w:t>
        </w:r>
      </w:hyperlink>
    </w:p>
    <w:p w:rsidR="006E6B21" w:rsidRDefault="006E6B21" w:rsidP="00514D4B">
      <w:pPr>
        <w:rPr>
          <w:rFonts w:ascii="Century Schoolbook" w:hAnsi="Century Schoolbook"/>
          <w:sz w:val="24"/>
        </w:rPr>
      </w:pPr>
      <w:proofErr w:type="spellStart"/>
      <w:r w:rsidRPr="006E6B21">
        <w:rPr>
          <w:rFonts w:ascii="Century Schoolbook" w:hAnsi="Century Schoolbook"/>
          <w:sz w:val="24"/>
        </w:rPr>
        <w:t>robin.kriesberg</w:t>
      </w:r>
      <w:proofErr w:type="spellEnd"/>
      <w:r w:rsidRPr="006E6B21">
        <w:rPr>
          <w:rFonts w:ascii="Century Schoolbook" w:hAnsi="Century Schoolbook"/>
          <w:sz w:val="24"/>
        </w:rPr>
        <w:t xml:space="preserve"> </w:t>
      </w:r>
      <w:hyperlink r:id="rId14" w:history="1">
        <w:r w:rsidRPr="001D7B57">
          <w:rPr>
            <w:rStyle w:val="Hyperlink"/>
            <w:rFonts w:ascii="Century Schoolbook" w:hAnsi="Century Schoolbook"/>
            <w:sz w:val="24"/>
          </w:rPr>
          <w:t>robin.kriesberg@gmail.com</w:t>
        </w:r>
      </w:hyperlink>
    </w:p>
    <w:p w:rsidR="00077476" w:rsidRDefault="00514D4B" w:rsidP="00514D4B">
      <w:pPr>
        <w:rPr>
          <w:rFonts w:ascii="Century Schoolbook" w:hAnsi="Century Schoolbook"/>
          <w:sz w:val="24"/>
        </w:rPr>
      </w:pPr>
      <w:r w:rsidRPr="00514D4B">
        <w:rPr>
          <w:rFonts w:ascii="Century Schoolbook" w:hAnsi="Century Schoolbook"/>
          <w:sz w:val="24"/>
        </w:rPr>
        <w:t xml:space="preserve">You are to be commended for the </w:t>
      </w:r>
      <w:r w:rsidR="00241CD9">
        <w:rPr>
          <w:rFonts w:ascii="Century Schoolbook" w:hAnsi="Century Schoolbook"/>
          <w:sz w:val="24"/>
        </w:rPr>
        <w:t xml:space="preserve">setting up the long awaited meeting on LTCP -- </w:t>
      </w:r>
      <w:r w:rsidRPr="00514D4B">
        <w:rPr>
          <w:rFonts w:ascii="Century Schoolbook" w:hAnsi="Century Schoolbook"/>
          <w:sz w:val="24"/>
        </w:rPr>
        <w:t xml:space="preserve">“NYC Department of Environmental Protection (DEP) is kicking off its program to develop Long Term Control Plans (LTCPs) for NYC </w:t>
      </w:r>
      <w:proofErr w:type="spellStart"/>
      <w:r w:rsidRPr="00514D4B">
        <w:rPr>
          <w:rFonts w:ascii="Century Schoolbook" w:hAnsi="Century Schoolbook"/>
          <w:sz w:val="24"/>
        </w:rPr>
        <w:t>waterbodies</w:t>
      </w:r>
      <w:proofErr w:type="spellEnd"/>
      <w:r w:rsidRPr="00514D4B">
        <w:rPr>
          <w:rFonts w:ascii="Century Schoolbook" w:hAnsi="Century Schoolbook"/>
          <w:sz w:val="24"/>
        </w:rPr>
        <w:t xml:space="preserve"> impacted by combined sewer overflows (CSOs) with a Public Open House</w:t>
      </w:r>
      <w:r w:rsidR="00241CD9">
        <w:rPr>
          <w:rStyle w:val="FootnoteReference"/>
          <w:rFonts w:ascii="Century Schoolbook" w:hAnsi="Century Schoolbook"/>
          <w:sz w:val="24"/>
        </w:rPr>
        <w:footnoteReference w:id="1"/>
      </w:r>
      <w:r w:rsidR="00241CD9">
        <w:rPr>
          <w:rFonts w:ascii="Century Schoolbook" w:hAnsi="Century Schoolbook"/>
          <w:sz w:val="24"/>
        </w:rPr>
        <w:t>.</w:t>
      </w:r>
      <w:r w:rsidRPr="00514D4B">
        <w:rPr>
          <w:rFonts w:ascii="Century Schoolbook" w:hAnsi="Century Schoolbook"/>
          <w:sz w:val="24"/>
        </w:rPr>
        <w:t>”</w:t>
      </w:r>
      <w:r w:rsidR="00077476">
        <w:rPr>
          <w:rFonts w:ascii="Century Schoolbook" w:hAnsi="Century Schoolbook"/>
          <w:sz w:val="24"/>
        </w:rPr>
        <w:t xml:space="preserve"> </w:t>
      </w:r>
      <w:r w:rsidR="009937A8">
        <w:rPr>
          <w:rFonts w:ascii="Century Schoolbook" w:hAnsi="Century Schoolbook"/>
          <w:sz w:val="24"/>
        </w:rPr>
        <w:t>T</w:t>
      </w:r>
      <w:r>
        <w:rPr>
          <w:rFonts w:ascii="Century Schoolbook" w:hAnsi="Century Schoolbook"/>
          <w:sz w:val="24"/>
        </w:rPr>
        <w:t xml:space="preserve">his letter serves as a reminder </w:t>
      </w:r>
      <w:bookmarkStart w:id="0" w:name="_GoBack"/>
      <w:bookmarkEnd w:id="0"/>
      <w:r>
        <w:rPr>
          <w:rFonts w:ascii="Century Schoolbook" w:hAnsi="Century Schoolbook"/>
          <w:sz w:val="24"/>
        </w:rPr>
        <w:t>to your agency that public participation is one of the required nine elements of a LTCP</w:t>
      </w:r>
      <w:r w:rsidR="00241CD9">
        <w:rPr>
          <w:rFonts w:ascii="Century Schoolbook" w:hAnsi="Century Schoolbook"/>
          <w:sz w:val="24"/>
        </w:rPr>
        <w:t xml:space="preserve">.  </w:t>
      </w:r>
    </w:p>
    <w:p w:rsidR="00241CD9" w:rsidRDefault="00514D4B" w:rsidP="00077476">
      <w:pPr>
        <w:rPr>
          <w:rFonts w:ascii="Century Schoolbook" w:hAnsi="Century Schoolbook"/>
          <w:sz w:val="24"/>
        </w:rPr>
      </w:pPr>
      <w:r>
        <w:rPr>
          <w:rFonts w:ascii="Century Schoolbook" w:hAnsi="Century Schoolbook"/>
          <w:sz w:val="24"/>
        </w:rPr>
        <w:t>The public expects to see and looks forward to becoming involved with</w:t>
      </w:r>
      <w:r w:rsidR="00077476">
        <w:rPr>
          <w:rFonts w:ascii="Century Schoolbook" w:hAnsi="Century Schoolbook"/>
          <w:sz w:val="24"/>
        </w:rPr>
        <w:t xml:space="preserve"> </w:t>
      </w:r>
      <w:r w:rsidR="0063737A">
        <w:rPr>
          <w:rFonts w:ascii="Century Schoolbook" w:hAnsi="Century Schoolbook"/>
          <w:sz w:val="24"/>
        </w:rPr>
        <w:t xml:space="preserve">the development of </w:t>
      </w:r>
      <w:r w:rsidR="009937A8">
        <w:rPr>
          <w:rFonts w:ascii="Century Schoolbook" w:hAnsi="Century Schoolbook"/>
          <w:sz w:val="24"/>
        </w:rPr>
        <w:t>your</w:t>
      </w:r>
      <w:r w:rsidR="0063737A">
        <w:rPr>
          <w:rFonts w:ascii="Century Schoolbook" w:hAnsi="Century Schoolbook"/>
          <w:sz w:val="24"/>
        </w:rPr>
        <w:t xml:space="preserve"> Public Participation P</w:t>
      </w:r>
      <w:r w:rsidR="00077476">
        <w:rPr>
          <w:rFonts w:ascii="Century Schoolbook" w:hAnsi="Century Schoolbook"/>
          <w:sz w:val="24"/>
        </w:rPr>
        <w:t>lan</w:t>
      </w:r>
      <w:r w:rsidR="0063737A">
        <w:rPr>
          <w:rFonts w:ascii="Century Schoolbook" w:hAnsi="Century Schoolbook"/>
          <w:sz w:val="24"/>
        </w:rPr>
        <w:t xml:space="preserve"> as required by Federal CSO Policy</w:t>
      </w:r>
      <w:r w:rsidR="00077476">
        <w:rPr>
          <w:rFonts w:ascii="Century Schoolbook" w:hAnsi="Century Schoolbook"/>
          <w:sz w:val="24"/>
        </w:rPr>
        <w:t xml:space="preserve">.  </w:t>
      </w:r>
      <w:r w:rsidR="0063737A">
        <w:rPr>
          <w:rFonts w:ascii="Century Schoolbook" w:hAnsi="Century Schoolbook"/>
          <w:sz w:val="24"/>
        </w:rPr>
        <w:t>By this we mean tha</w:t>
      </w:r>
      <w:r w:rsidR="00077476">
        <w:rPr>
          <w:rFonts w:ascii="Century Schoolbook" w:hAnsi="Century Schoolbook"/>
          <w:sz w:val="24"/>
        </w:rPr>
        <w:t>t future meetings should not be scheduled at inconvenient locations and dates.</w:t>
      </w:r>
      <w:r w:rsidR="004C09E8">
        <w:rPr>
          <w:rStyle w:val="FootnoteReference"/>
          <w:rFonts w:ascii="Century Schoolbook" w:hAnsi="Century Schoolbook"/>
          <w:sz w:val="24"/>
        </w:rPr>
        <w:footnoteReference w:id="2"/>
      </w:r>
      <w:r w:rsidR="00077476">
        <w:rPr>
          <w:rFonts w:ascii="Century Schoolbook" w:hAnsi="Century Schoolbook"/>
          <w:sz w:val="24"/>
        </w:rPr>
        <w:t xml:space="preserve"> </w:t>
      </w:r>
      <w:r w:rsidR="009937A8">
        <w:rPr>
          <w:rFonts w:ascii="Century Schoolbook" w:hAnsi="Century Schoolbook"/>
          <w:sz w:val="24"/>
        </w:rPr>
        <w:t xml:space="preserve"> </w:t>
      </w:r>
      <w:r w:rsidR="00077476">
        <w:rPr>
          <w:rFonts w:ascii="Century Schoolbook" w:hAnsi="Century Schoolbook"/>
          <w:sz w:val="24"/>
        </w:rPr>
        <w:t xml:space="preserve"> The EPA documents </w:t>
      </w:r>
      <w:r w:rsidR="0063737A">
        <w:rPr>
          <w:rFonts w:ascii="Century Schoolbook" w:hAnsi="Century Schoolbook"/>
          <w:sz w:val="24"/>
        </w:rPr>
        <w:t xml:space="preserve">are </w:t>
      </w:r>
      <w:r w:rsidR="00077476">
        <w:rPr>
          <w:rFonts w:ascii="Century Schoolbook" w:hAnsi="Century Schoolbook"/>
          <w:sz w:val="24"/>
        </w:rPr>
        <w:t>provided here for your convenience: (</w:t>
      </w:r>
      <w:r w:rsidR="00077476" w:rsidRPr="00077476">
        <w:rPr>
          <w:rFonts w:ascii="Century Schoolbook" w:hAnsi="Century Schoolbook"/>
          <w:sz w:val="24"/>
        </w:rPr>
        <w:t xml:space="preserve">Sources: </w:t>
      </w:r>
      <w:hyperlink r:id="rId15" w:history="1">
        <w:r w:rsidR="00077476" w:rsidRPr="001D7B57">
          <w:rPr>
            <w:rStyle w:val="Hyperlink"/>
            <w:rFonts w:ascii="Century Schoolbook" w:hAnsi="Century Schoolbook"/>
            <w:sz w:val="24"/>
          </w:rPr>
          <w:t>http://www.epa.gov/npdes/pubs/owm0272.pdf</w:t>
        </w:r>
      </w:hyperlink>
      <w:r w:rsidR="00077476">
        <w:rPr>
          <w:rFonts w:ascii="Century Schoolbook" w:hAnsi="Century Schoolbook"/>
          <w:sz w:val="24"/>
        </w:rPr>
        <w:t xml:space="preserve"> </w:t>
      </w:r>
      <w:r w:rsidR="00077476" w:rsidRPr="00077476">
        <w:rPr>
          <w:rFonts w:ascii="Century Schoolbook" w:hAnsi="Century Schoolbook"/>
          <w:sz w:val="24"/>
        </w:rPr>
        <w:t>and</w:t>
      </w:r>
      <w:r w:rsidR="00077476">
        <w:rPr>
          <w:rFonts w:ascii="Century Schoolbook" w:hAnsi="Century Schoolbook"/>
          <w:sz w:val="24"/>
        </w:rPr>
        <w:t xml:space="preserve"> </w:t>
      </w:r>
      <w:hyperlink r:id="rId16" w:history="1">
        <w:r w:rsidR="00077476" w:rsidRPr="001D7B57">
          <w:rPr>
            <w:rStyle w:val="Hyperlink"/>
            <w:rFonts w:ascii="Century Schoolbook" w:hAnsi="Century Schoolbook"/>
            <w:sz w:val="24"/>
          </w:rPr>
          <w:t>http://www.epa.gov/npdes/pubs/owm0030.pdf</w:t>
        </w:r>
      </w:hyperlink>
      <w:r w:rsidR="00077476">
        <w:rPr>
          <w:rFonts w:ascii="Century Schoolbook" w:hAnsi="Century Schoolbook"/>
          <w:sz w:val="24"/>
        </w:rPr>
        <w:t>)</w:t>
      </w:r>
      <w:r w:rsidR="00241CD9">
        <w:rPr>
          <w:rFonts w:ascii="Century Schoolbook" w:hAnsi="Century Schoolbook"/>
          <w:sz w:val="24"/>
        </w:rPr>
        <w:t>.</w:t>
      </w:r>
    </w:p>
    <w:p w:rsidR="004C09E8" w:rsidRDefault="00241CD9" w:rsidP="00241CD9">
      <w:pPr>
        <w:rPr>
          <w:rFonts w:ascii="Century Schoolbook" w:hAnsi="Century Schoolbook"/>
          <w:sz w:val="24"/>
        </w:rPr>
      </w:pPr>
      <w:r w:rsidRPr="00241CD9">
        <w:rPr>
          <w:rFonts w:ascii="Century Schoolbook" w:hAnsi="Century Schoolbook"/>
          <w:sz w:val="24"/>
        </w:rPr>
        <w:t>We are watching how you plan to comply with the CSO policy, in particular, in the development of an adequate Public Participation Plan.</w:t>
      </w:r>
      <w:r>
        <w:rPr>
          <w:rStyle w:val="FootnoteReference"/>
          <w:rFonts w:ascii="Century Schoolbook" w:hAnsi="Century Schoolbook"/>
          <w:sz w:val="24"/>
        </w:rPr>
        <w:footnoteReference w:id="3"/>
      </w:r>
      <w:r w:rsidRPr="00241CD9">
        <w:rPr>
          <w:rFonts w:ascii="Century Schoolbook" w:hAnsi="Century Schoolbook"/>
          <w:sz w:val="24"/>
        </w:rPr>
        <w:t xml:space="preserve">  Th</w:t>
      </w:r>
      <w:r>
        <w:rPr>
          <w:rFonts w:ascii="Century Schoolbook" w:hAnsi="Century Schoolbook"/>
          <w:sz w:val="24"/>
        </w:rPr>
        <w:t>e</w:t>
      </w:r>
      <w:r w:rsidRPr="00241CD9">
        <w:rPr>
          <w:rFonts w:ascii="Century Schoolbook" w:hAnsi="Century Schoolbook"/>
          <w:sz w:val="24"/>
        </w:rPr>
        <w:t xml:space="preserve"> plan should include meetings at convenient locations and date, with adequate notice to stakeholders, especially if held in the summer months.</w:t>
      </w:r>
      <w:r w:rsidR="004C09E8">
        <w:rPr>
          <w:rStyle w:val="FootnoteReference"/>
          <w:rFonts w:ascii="Century Schoolbook" w:hAnsi="Century Schoolbook"/>
          <w:sz w:val="24"/>
        </w:rPr>
        <w:footnoteReference w:id="4"/>
      </w:r>
      <w:r w:rsidRPr="00241CD9">
        <w:rPr>
          <w:rFonts w:ascii="Century Schoolbook" w:hAnsi="Century Schoolbook"/>
          <w:sz w:val="24"/>
        </w:rPr>
        <w:t xml:space="preserve">  These meetings should be an organized a syllabus of information so as to allow the public to choose issues of interest, </w:t>
      </w:r>
      <w:r>
        <w:rPr>
          <w:rFonts w:ascii="Century Schoolbook" w:hAnsi="Century Schoolbook"/>
          <w:sz w:val="24"/>
        </w:rPr>
        <w:t xml:space="preserve">presentation of </w:t>
      </w:r>
      <w:r w:rsidRPr="00241CD9">
        <w:rPr>
          <w:rFonts w:ascii="Century Schoolbook" w:hAnsi="Century Schoolbook"/>
          <w:sz w:val="24"/>
        </w:rPr>
        <w:t xml:space="preserve">technical </w:t>
      </w:r>
      <w:r>
        <w:rPr>
          <w:rFonts w:ascii="Century Schoolbook" w:hAnsi="Century Schoolbook"/>
          <w:sz w:val="24"/>
        </w:rPr>
        <w:t>explanations</w:t>
      </w:r>
      <w:r w:rsidRPr="00241CD9">
        <w:rPr>
          <w:rFonts w:ascii="Century Schoolbook" w:hAnsi="Century Schoolbook"/>
          <w:sz w:val="24"/>
        </w:rPr>
        <w:t>, and/or agency interactions.</w:t>
      </w:r>
      <w:r w:rsidR="004C09E8">
        <w:rPr>
          <w:rStyle w:val="FootnoteReference"/>
          <w:rFonts w:ascii="Century Schoolbook" w:hAnsi="Century Schoolbook"/>
          <w:sz w:val="24"/>
        </w:rPr>
        <w:footnoteReference w:id="5"/>
      </w:r>
      <w:r w:rsidRPr="00241CD9">
        <w:rPr>
          <w:rFonts w:ascii="Century Schoolbook" w:hAnsi="Century Schoolbook"/>
          <w:sz w:val="24"/>
        </w:rPr>
        <w:t xml:space="preserve">  There should </w:t>
      </w:r>
      <w:r w:rsidRPr="00241CD9">
        <w:rPr>
          <w:rFonts w:ascii="Century Schoolbook" w:hAnsi="Century Schoolbook"/>
          <w:sz w:val="24"/>
        </w:rPr>
        <w:lastRenderedPageBreak/>
        <w:t>be several meetings and hearings</w:t>
      </w:r>
      <w:r>
        <w:rPr>
          <w:rFonts w:ascii="Century Schoolbook" w:hAnsi="Century Schoolbook"/>
          <w:sz w:val="24"/>
        </w:rPr>
        <w:t xml:space="preserve"> in order to obtain input from interested individuals and organizations</w:t>
      </w:r>
      <w:r w:rsidRPr="00241CD9">
        <w:rPr>
          <w:rFonts w:ascii="Century Schoolbook" w:hAnsi="Century Schoolbook"/>
          <w:sz w:val="24"/>
        </w:rPr>
        <w:t>.</w:t>
      </w:r>
      <w:r w:rsidR="004C09E8">
        <w:rPr>
          <w:rStyle w:val="FootnoteReference"/>
          <w:rFonts w:ascii="Century Schoolbook" w:hAnsi="Century Schoolbook"/>
          <w:sz w:val="24"/>
        </w:rPr>
        <w:footnoteReference w:id="6"/>
      </w:r>
      <w:r>
        <w:rPr>
          <w:rFonts w:ascii="Century Schoolbook" w:hAnsi="Century Schoolbook"/>
          <w:sz w:val="24"/>
        </w:rPr>
        <w:t xml:space="preserve">  One meeting in NYC is not sufficient.</w:t>
      </w:r>
      <w:r w:rsidRPr="00241CD9">
        <w:rPr>
          <w:rFonts w:ascii="Century Schoolbook" w:hAnsi="Century Schoolbook"/>
          <w:sz w:val="24"/>
        </w:rPr>
        <w:t xml:space="preserve"> </w:t>
      </w:r>
    </w:p>
    <w:p w:rsidR="005A62FB" w:rsidRDefault="005A62FB" w:rsidP="00241CD9">
      <w:pPr>
        <w:rPr>
          <w:rFonts w:ascii="Century Schoolbook" w:hAnsi="Century Schoolbook"/>
          <w:sz w:val="24"/>
        </w:rPr>
      </w:pPr>
      <w:r>
        <w:rPr>
          <w:rFonts w:ascii="Century Schoolbook" w:hAnsi="Century Schoolbook"/>
          <w:sz w:val="24"/>
        </w:rPr>
        <w:t>Perhaps you could schedule a series of meetings in each borough so the public could make arrangements to get to them.  You could also arrange for translations where necessary.</w:t>
      </w:r>
    </w:p>
    <w:p w:rsidR="004C09E8" w:rsidRDefault="004C09E8" w:rsidP="00241CD9">
      <w:pPr>
        <w:rPr>
          <w:rFonts w:ascii="Century Schoolbook" w:hAnsi="Century Schoolbook"/>
          <w:sz w:val="24"/>
        </w:rPr>
      </w:pPr>
      <w:r>
        <w:rPr>
          <w:rFonts w:ascii="Century Schoolbook" w:hAnsi="Century Schoolbook"/>
          <w:sz w:val="24"/>
        </w:rPr>
        <w:t xml:space="preserve">Please respond with your comments as soon as possible. </w:t>
      </w:r>
    </w:p>
    <w:p w:rsidR="004C09E8" w:rsidRDefault="004C09E8" w:rsidP="00241CD9">
      <w:pPr>
        <w:rPr>
          <w:rFonts w:ascii="Century Schoolbook" w:hAnsi="Century Schoolbook"/>
          <w:sz w:val="24"/>
        </w:rPr>
      </w:pPr>
      <w:proofErr w:type="gramStart"/>
      <w:r>
        <w:rPr>
          <w:rFonts w:ascii="Century Schoolbook" w:hAnsi="Century Schoolbook"/>
          <w:sz w:val="24"/>
        </w:rPr>
        <w:t>c</w:t>
      </w:r>
      <w:proofErr w:type="gramEnd"/>
      <w:r>
        <w:rPr>
          <w:rFonts w:ascii="Century Schoolbook" w:hAnsi="Century Schoolbook"/>
          <w:sz w:val="24"/>
        </w:rPr>
        <w:t>: EPA, DEC</w:t>
      </w:r>
    </w:p>
    <w:p w:rsidR="00A673A4" w:rsidRPr="00A673A4" w:rsidRDefault="00A673A4" w:rsidP="00A673A4">
      <w:pPr>
        <w:rPr>
          <w:rFonts w:ascii="Century Schoolbook" w:hAnsi="Century Schoolbook"/>
          <w:sz w:val="24"/>
        </w:rPr>
      </w:pPr>
      <w:hyperlink r:id="rId17" w:history="1">
        <w:r w:rsidRPr="001D7B57">
          <w:rPr>
            <w:rStyle w:val="Hyperlink"/>
            <w:rFonts w:ascii="Century Schoolbook" w:hAnsi="Century Schoolbook"/>
            <w:sz w:val="24"/>
          </w:rPr>
          <w:t>SOjar@dep.nyc.gov</w:t>
        </w:r>
      </w:hyperlink>
      <w:r>
        <w:rPr>
          <w:rFonts w:ascii="Century Schoolbook" w:hAnsi="Century Schoolbook"/>
          <w:sz w:val="24"/>
        </w:rPr>
        <w:t xml:space="preserve">, </w:t>
      </w:r>
      <w:hyperlink r:id="rId18" w:history="1">
        <w:r w:rsidRPr="001D7B57">
          <w:rPr>
            <w:rStyle w:val="Hyperlink"/>
            <w:rFonts w:ascii="Century Schoolbook" w:hAnsi="Century Schoolbook"/>
            <w:sz w:val="24"/>
          </w:rPr>
          <w:t>tvpanzon@gw.dec.state.ny.us</w:t>
        </w:r>
      </w:hyperlink>
      <w:r>
        <w:rPr>
          <w:rFonts w:ascii="Century Schoolbook" w:hAnsi="Century Schoolbook"/>
          <w:sz w:val="24"/>
        </w:rPr>
        <w:t xml:space="preserve">, </w:t>
      </w:r>
      <w:hyperlink r:id="rId19" w:history="1">
        <w:r w:rsidRPr="001D7B57">
          <w:rPr>
            <w:rStyle w:val="Hyperlink"/>
            <w:rFonts w:ascii="Century Schoolbook" w:hAnsi="Century Schoolbook"/>
            <w:sz w:val="24"/>
          </w:rPr>
          <w:t>Gratz.Jeff@epa.gov</w:t>
        </w:r>
      </w:hyperlink>
      <w:r>
        <w:rPr>
          <w:rFonts w:ascii="Century Schoolbook" w:hAnsi="Century Schoolbook"/>
          <w:sz w:val="24"/>
        </w:rPr>
        <w:t xml:space="preserve"> </w:t>
      </w:r>
    </w:p>
    <w:p w:rsidR="004C09E8" w:rsidRDefault="00A673A4" w:rsidP="00A673A4">
      <w:pPr>
        <w:rPr>
          <w:rFonts w:ascii="Century Schoolbook" w:hAnsi="Century Schoolbook"/>
          <w:sz w:val="24"/>
        </w:rPr>
      </w:pPr>
      <w:hyperlink r:id="rId20" w:history="1">
        <w:r w:rsidRPr="001D7B57">
          <w:rPr>
            <w:rStyle w:val="Hyperlink"/>
            <w:rFonts w:ascii="Century Schoolbook" w:hAnsi="Century Schoolbook"/>
            <w:sz w:val="24"/>
          </w:rPr>
          <w:t>walter.matystik@manhattan.edu</w:t>
        </w:r>
      </w:hyperlink>
      <w:r>
        <w:rPr>
          <w:rFonts w:ascii="Century Schoolbook" w:hAnsi="Century Schoolbook"/>
          <w:sz w:val="24"/>
        </w:rPr>
        <w:t xml:space="preserve">, </w:t>
      </w:r>
      <w:hyperlink r:id="rId21" w:history="1">
        <w:r w:rsidRPr="001D7B57">
          <w:rPr>
            <w:rStyle w:val="Hyperlink"/>
            <w:rFonts w:ascii="Century Schoolbook" w:hAnsi="Century Schoolbook"/>
            <w:sz w:val="24"/>
          </w:rPr>
          <w:t>dartwestphal@gmail.com</w:t>
        </w:r>
      </w:hyperlink>
      <w:r>
        <w:rPr>
          <w:rFonts w:ascii="Century Schoolbook" w:hAnsi="Century Schoolbook"/>
          <w:sz w:val="24"/>
        </w:rPr>
        <w:t xml:space="preserve">, </w:t>
      </w:r>
      <w:hyperlink r:id="rId22" w:history="1">
        <w:r w:rsidRPr="001D7B57">
          <w:rPr>
            <w:rStyle w:val="Hyperlink"/>
            <w:rFonts w:ascii="Century Schoolbook" w:hAnsi="Century Schoolbook"/>
            <w:sz w:val="24"/>
          </w:rPr>
          <w:t>llevine@nrdc.org</w:t>
        </w:r>
      </w:hyperlink>
      <w:r>
        <w:rPr>
          <w:rFonts w:ascii="Century Schoolbook" w:hAnsi="Century Schoolbook"/>
          <w:sz w:val="24"/>
        </w:rPr>
        <w:t xml:space="preserve">, </w:t>
      </w:r>
      <w:hyperlink r:id="rId23" w:history="1">
        <w:r w:rsidRPr="001D7B57">
          <w:rPr>
            <w:rStyle w:val="Hyperlink"/>
            <w:rFonts w:ascii="Century Schoolbook" w:hAnsi="Century Schoolbook"/>
            <w:sz w:val="24"/>
          </w:rPr>
          <w:t>robin.kriesberg@gmail.com</w:t>
        </w:r>
      </w:hyperlink>
      <w:r>
        <w:rPr>
          <w:rFonts w:ascii="Century Schoolbook" w:hAnsi="Century Schoolbook"/>
          <w:sz w:val="24"/>
        </w:rPr>
        <w:t xml:space="preserve"> </w:t>
      </w:r>
      <w:r w:rsidR="004C09E8">
        <w:rPr>
          <w:rFonts w:ascii="Century Schoolbook" w:hAnsi="Century Schoolbook"/>
          <w:sz w:val="24"/>
        </w:rPr>
        <w:br w:type="page"/>
      </w:r>
    </w:p>
    <w:p w:rsidR="00241CD9" w:rsidRPr="00241CD9" w:rsidRDefault="00241CD9" w:rsidP="00241CD9">
      <w:pPr>
        <w:rPr>
          <w:rFonts w:ascii="Century Schoolbook" w:hAnsi="Century Schoolbook"/>
          <w:sz w:val="24"/>
        </w:rPr>
      </w:pPr>
    </w:p>
    <w:p w:rsidR="00514D4B" w:rsidRPr="00514D4B" w:rsidRDefault="0063737A" w:rsidP="00514D4B">
      <w:pPr>
        <w:rPr>
          <w:rFonts w:ascii="Century Schoolbook" w:hAnsi="Century Schoolbook"/>
          <w:sz w:val="24"/>
        </w:rPr>
      </w:pPr>
      <w:r>
        <w:rPr>
          <w:rFonts w:ascii="Century Schoolbook" w:hAnsi="Century Schoolbook"/>
          <w:sz w:val="24"/>
        </w:rPr>
        <w:t>Of the nine elements of the LTCP, number 2 is “</w:t>
      </w:r>
      <w:r w:rsidRPr="0063737A">
        <w:rPr>
          <w:rFonts w:ascii="Century Schoolbook" w:hAnsi="Century Schoolbook"/>
          <w:i/>
          <w:sz w:val="24"/>
        </w:rPr>
        <w:t>A public participation process that actively involves the affected public in the decision-making to select long-term CSO controls.</w:t>
      </w:r>
      <w:r>
        <w:rPr>
          <w:rFonts w:ascii="Century Schoolbook" w:hAnsi="Century Schoolbook"/>
          <w:sz w:val="24"/>
        </w:rPr>
        <w:t xml:space="preserve">”  We expect that the LTCP </w:t>
      </w:r>
      <w:r w:rsidR="00077476">
        <w:rPr>
          <w:rFonts w:ascii="Century Schoolbook" w:hAnsi="Century Schoolbook"/>
          <w:sz w:val="24"/>
        </w:rPr>
        <w:t xml:space="preserve">should </w:t>
      </w:r>
      <w:r w:rsidRPr="0063737A">
        <w:rPr>
          <w:rFonts w:ascii="Century Schoolbook" w:hAnsi="Century Schoolbook"/>
          <w:i/>
          <w:sz w:val="24"/>
        </w:rPr>
        <w:t>“e</w:t>
      </w:r>
      <w:r w:rsidR="00514D4B" w:rsidRPr="0063737A">
        <w:rPr>
          <w:rFonts w:ascii="Century Schoolbook" w:hAnsi="Century Schoolbook"/>
          <w:i/>
          <w:sz w:val="24"/>
        </w:rPr>
        <w:t>nsure public involvement during the decision-making process.</w:t>
      </w:r>
      <w:r w:rsidRPr="0063737A">
        <w:rPr>
          <w:rFonts w:ascii="Century Schoolbook" w:hAnsi="Century Schoolbook"/>
          <w:i/>
          <w:sz w:val="24"/>
        </w:rPr>
        <w:t>”</w:t>
      </w:r>
      <w:r>
        <w:rPr>
          <w:rFonts w:ascii="Century Schoolbook" w:hAnsi="Century Schoolbook"/>
          <w:sz w:val="24"/>
        </w:rPr>
        <w:t xml:space="preserve">  That activity should be interactive, that is, </w:t>
      </w:r>
      <w:r w:rsidRPr="0063737A">
        <w:rPr>
          <w:rFonts w:ascii="Century Schoolbook" w:hAnsi="Century Schoolbook"/>
          <w:i/>
          <w:sz w:val="24"/>
        </w:rPr>
        <w:t>“e</w:t>
      </w:r>
      <w:r w:rsidR="00514D4B" w:rsidRPr="0063737A">
        <w:rPr>
          <w:rFonts w:ascii="Century Schoolbook" w:hAnsi="Century Schoolbook"/>
          <w:i/>
          <w:sz w:val="24"/>
        </w:rPr>
        <w:t>mphasizes the role of public participation and agency interaction</w:t>
      </w:r>
      <w:r w:rsidRPr="0063737A">
        <w:rPr>
          <w:rFonts w:ascii="Century Schoolbook" w:hAnsi="Century Schoolbook"/>
          <w:i/>
          <w:sz w:val="24"/>
        </w:rPr>
        <w:t>.”</w:t>
      </w:r>
      <w:r>
        <w:rPr>
          <w:rFonts w:ascii="Century Schoolbook" w:hAnsi="Century Schoolbook"/>
          <w:sz w:val="24"/>
        </w:rPr>
        <w:t xml:space="preserve">  The policy clearly proposes technical explanations, and more than one meeting and hearing, stating that </w:t>
      </w:r>
      <w:r w:rsidRPr="009937A8">
        <w:rPr>
          <w:rFonts w:ascii="Century Schoolbook" w:hAnsi="Century Schoolbook"/>
          <w:i/>
          <w:sz w:val="24"/>
        </w:rPr>
        <w:t>“</w:t>
      </w:r>
      <w:r w:rsidR="00514D4B" w:rsidRPr="009937A8">
        <w:rPr>
          <w:rFonts w:ascii="Century Schoolbook" w:hAnsi="Century Schoolbook"/>
          <w:i/>
          <w:sz w:val="24"/>
        </w:rPr>
        <w:t>Public meetings and public hearings can provide an effective forum to present technical information and obtain input from interested individuals and organizations.</w:t>
      </w:r>
      <w:r w:rsidRPr="009937A8">
        <w:rPr>
          <w:rFonts w:ascii="Century Schoolbook" w:hAnsi="Century Schoolbook"/>
          <w:i/>
          <w:sz w:val="24"/>
        </w:rPr>
        <w:t>”</w:t>
      </w:r>
    </w:p>
    <w:p w:rsidR="00514D4B" w:rsidRPr="009937A8" w:rsidRDefault="004C09E8" w:rsidP="00514D4B">
      <w:pPr>
        <w:rPr>
          <w:rFonts w:ascii="Century Schoolbook" w:hAnsi="Century Schoolbook"/>
          <w:i/>
          <w:sz w:val="24"/>
        </w:rPr>
      </w:pPr>
      <w:r>
        <w:rPr>
          <w:rFonts w:ascii="Century Schoolbook" w:hAnsi="Century Schoolbook"/>
          <w:sz w:val="24"/>
        </w:rPr>
        <w:t>P</w:t>
      </w:r>
      <w:r w:rsidR="009937A8">
        <w:rPr>
          <w:rFonts w:ascii="Century Schoolbook" w:hAnsi="Century Schoolbook"/>
          <w:sz w:val="24"/>
        </w:rPr>
        <w:t xml:space="preserve">ublic notification under </w:t>
      </w:r>
      <w:r w:rsidR="0063737A">
        <w:rPr>
          <w:rFonts w:ascii="Century Schoolbook" w:hAnsi="Century Schoolbook"/>
          <w:sz w:val="24"/>
        </w:rPr>
        <w:t xml:space="preserve">the Federal CSO Policy should be </w:t>
      </w:r>
      <w:r w:rsidR="009937A8">
        <w:rPr>
          <w:rFonts w:ascii="Century Schoolbook" w:hAnsi="Century Schoolbook"/>
          <w:sz w:val="24"/>
        </w:rPr>
        <w:t xml:space="preserve">reasonable, but informative. </w:t>
      </w:r>
      <w:r w:rsidR="009937A8" w:rsidRPr="009937A8">
        <w:rPr>
          <w:rFonts w:ascii="Century Schoolbook" w:hAnsi="Century Schoolbook"/>
          <w:i/>
          <w:sz w:val="24"/>
        </w:rPr>
        <w:t>“</w:t>
      </w:r>
      <w:r w:rsidR="00514D4B" w:rsidRPr="009937A8">
        <w:rPr>
          <w:rFonts w:ascii="Century Schoolbook" w:hAnsi="Century Schoolbook"/>
          <w:i/>
          <w:sz w:val="24"/>
        </w:rPr>
        <w:t>The most appropriate mechanism for public notification will probably vary with local circumstances, such as the character and size of the use area and means of public access. The measure selected should be the most cost-effective measure that provides reasonable assurance that the affected public is informed in a timely manner.</w:t>
      </w:r>
      <w:r w:rsidR="009937A8" w:rsidRPr="009937A8">
        <w:rPr>
          <w:rFonts w:ascii="Century Schoolbook" w:hAnsi="Century Schoolbook"/>
          <w:i/>
          <w:sz w:val="24"/>
        </w:rPr>
        <w:t>”</w:t>
      </w:r>
    </w:p>
    <w:p w:rsidR="00514D4B" w:rsidRPr="00514D4B" w:rsidRDefault="00514D4B" w:rsidP="00514D4B">
      <w:pPr>
        <w:rPr>
          <w:rFonts w:ascii="Century Schoolbook" w:hAnsi="Century Schoolbook"/>
          <w:sz w:val="24"/>
        </w:rPr>
      </w:pPr>
      <w:r w:rsidRPr="00514D4B">
        <w:rPr>
          <w:rFonts w:ascii="Century Schoolbook" w:hAnsi="Century Schoolbook"/>
          <w:sz w:val="24"/>
        </w:rPr>
        <w:t> </w:t>
      </w:r>
    </w:p>
    <w:p w:rsidR="00514D4B" w:rsidRPr="00514D4B" w:rsidRDefault="00514D4B" w:rsidP="00514D4B">
      <w:pPr>
        <w:rPr>
          <w:rFonts w:ascii="Century Schoolbook" w:hAnsi="Century Schoolbook"/>
          <w:sz w:val="24"/>
        </w:rPr>
      </w:pPr>
      <w:r w:rsidRPr="00514D4B">
        <w:rPr>
          <w:rFonts w:ascii="Century Schoolbook" w:hAnsi="Century Schoolbook"/>
          <w:sz w:val="24"/>
        </w:rPr>
        <w:t>Sources:</w:t>
      </w:r>
      <w:r w:rsidR="00077476">
        <w:rPr>
          <w:rFonts w:ascii="Century Schoolbook" w:hAnsi="Century Schoolbook"/>
          <w:sz w:val="24"/>
        </w:rPr>
        <w:t xml:space="preserve"> </w:t>
      </w:r>
      <w:hyperlink r:id="rId24" w:tgtFrame="_blank" w:history="1">
        <w:r w:rsidRPr="00514D4B">
          <w:rPr>
            <w:rStyle w:val="Hyperlink"/>
            <w:rFonts w:ascii="Century Schoolbook" w:hAnsi="Century Schoolbook"/>
            <w:sz w:val="24"/>
          </w:rPr>
          <w:t>http://www.</w:t>
        </w:r>
        <w:r w:rsidRPr="00514D4B">
          <w:rPr>
            <w:rStyle w:val="Hyperlink"/>
            <w:rFonts w:ascii="Century Schoolbook" w:hAnsi="Century Schoolbook"/>
            <w:sz w:val="24"/>
          </w:rPr>
          <w:t>e</w:t>
        </w:r>
        <w:r w:rsidRPr="00514D4B">
          <w:rPr>
            <w:rStyle w:val="Hyperlink"/>
            <w:rFonts w:ascii="Century Schoolbook" w:hAnsi="Century Schoolbook"/>
            <w:sz w:val="24"/>
          </w:rPr>
          <w:t>pa.gov/npdes/pubs/owm0272.pdf</w:t>
        </w:r>
      </w:hyperlink>
      <w:r w:rsidR="00077476">
        <w:rPr>
          <w:rFonts w:ascii="Century Schoolbook" w:hAnsi="Century Schoolbook"/>
          <w:sz w:val="24"/>
        </w:rPr>
        <w:t xml:space="preserve">  and </w:t>
      </w:r>
    </w:p>
    <w:p w:rsidR="00514D4B" w:rsidRDefault="00514D4B" w:rsidP="00514D4B">
      <w:pPr>
        <w:rPr>
          <w:rFonts w:ascii="Century Schoolbook" w:hAnsi="Century Schoolbook"/>
          <w:sz w:val="24"/>
        </w:rPr>
      </w:pPr>
      <w:hyperlink r:id="rId25" w:tgtFrame="_blank" w:history="1">
        <w:r w:rsidRPr="00514D4B">
          <w:rPr>
            <w:rStyle w:val="Hyperlink"/>
            <w:rFonts w:ascii="Century Schoolbook" w:hAnsi="Century Schoolbook"/>
            <w:sz w:val="24"/>
          </w:rPr>
          <w:t>http://www.epa</w:t>
        </w:r>
        <w:r w:rsidRPr="00514D4B">
          <w:rPr>
            <w:rStyle w:val="Hyperlink"/>
            <w:rFonts w:ascii="Century Schoolbook" w:hAnsi="Century Schoolbook"/>
            <w:sz w:val="24"/>
          </w:rPr>
          <w:t>.</w:t>
        </w:r>
        <w:r w:rsidRPr="00514D4B">
          <w:rPr>
            <w:rStyle w:val="Hyperlink"/>
            <w:rFonts w:ascii="Century Schoolbook" w:hAnsi="Century Schoolbook"/>
            <w:sz w:val="24"/>
          </w:rPr>
          <w:t>gov/npdes/pubs/owm0030.pdf</w:t>
        </w:r>
      </w:hyperlink>
    </w:p>
    <w:p w:rsidR="00077476" w:rsidRDefault="00077476" w:rsidP="00514D4B">
      <w:pPr>
        <w:rPr>
          <w:rFonts w:ascii="Century Schoolbook" w:hAnsi="Century Schoolbook"/>
          <w:sz w:val="24"/>
        </w:rPr>
      </w:pPr>
    </w:p>
    <w:p w:rsidR="00077476" w:rsidRPr="00514D4B" w:rsidRDefault="00077476" w:rsidP="00514D4B">
      <w:pPr>
        <w:rPr>
          <w:rFonts w:ascii="Century Schoolbook" w:hAnsi="Century Schoolbook"/>
          <w:sz w:val="24"/>
        </w:rPr>
      </w:pP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A long term control plan consists of a comprehensive evaluation of long term solutions to reduce CSOs and improve water quality in NYC's waterways and </w:t>
      </w:r>
      <w:proofErr w:type="spellStart"/>
      <w:r w:rsidRPr="00077476">
        <w:rPr>
          <w:rFonts w:ascii="Century Schoolbook" w:hAnsi="Century Schoolbook"/>
          <w:sz w:val="24"/>
        </w:rPr>
        <w:t>waterbodies</w:t>
      </w:r>
      <w:proofErr w:type="spellEnd"/>
      <w:r w:rsidRPr="00077476">
        <w:rPr>
          <w:rFonts w:ascii="Century Schoolbook" w:hAnsi="Century Schoolbook"/>
          <w:sz w:val="24"/>
        </w:rPr>
        <w:t xml:space="preserve">.  The goal of the LTCP is to identify appropriate CSO controls necessary to achieve </w:t>
      </w:r>
      <w:proofErr w:type="spellStart"/>
      <w:r w:rsidRPr="00077476">
        <w:rPr>
          <w:rFonts w:ascii="Century Schoolbook" w:hAnsi="Century Schoolbook"/>
          <w:sz w:val="24"/>
        </w:rPr>
        <w:t>waterbody</w:t>
      </w:r>
      <w:proofErr w:type="spellEnd"/>
      <w:r w:rsidRPr="00077476">
        <w:rPr>
          <w:rFonts w:ascii="Century Schoolbook" w:hAnsi="Century Schoolbook"/>
          <w:sz w:val="24"/>
        </w:rPr>
        <w:t xml:space="preserve"> – specific water quality standards, consistent with Federal CSO Policy and subsequent guidance.</w:t>
      </w:r>
    </w:p>
    <w:p w:rsidR="00077476" w:rsidRPr="00077476" w:rsidRDefault="00077476" w:rsidP="00077476">
      <w:pPr>
        <w:rPr>
          <w:rFonts w:ascii="Century Schoolbook" w:hAnsi="Century Schoolbook"/>
          <w:sz w:val="24"/>
        </w:rPr>
      </w:pPr>
      <w:r w:rsidRPr="00077476">
        <w:rPr>
          <w:rFonts w:ascii="Century Schoolbook" w:hAnsi="Century Schoolbook"/>
          <w:sz w:val="24"/>
        </w:rPr>
        <w:t>HOW CAN YOU GET INVOLVED?</w:t>
      </w:r>
    </w:p>
    <w:p w:rsidR="00077476" w:rsidRPr="00077476" w:rsidRDefault="00077476" w:rsidP="00077476">
      <w:pPr>
        <w:rPr>
          <w:rFonts w:ascii="Century Schoolbook" w:hAnsi="Century Schoolbook"/>
          <w:sz w:val="24"/>
        </w:rPr>
      </w:pPr>
      <w:r w:rsidRPr="00077476">
        <w:rPr>
          <w:rFonts w:ascii="Century Schoolbook" w:hAnsi="Century Schoolbook"/>
          <w:sz w:val="24"/>
        </w:rPr>
        <w:t>At the Open House, you will be able to learn about DEP's current and upcoming efforts to reduce CSOs and how you can provide input on possible solutions.  Also, DEP staff will be available throughout the session to answer any questions you may have. Please extend this invite to your friends and colleagues.</w:t>
      </w:r>
    </w:p>
    <w:p w:rsidR="007F06DA" w:rsidRDefault="00077476" w:rsidP="00077476">
      <w:pPr>
        <w:rPr>
          <w:rFonts w:ascii="Century Schoolbook" w:hAnsi="Century Schoolbook"/>
          <w:sz w:val="24"/>
        </w:rPr>
      </w:pPr>
      <w:r w:rsidRPr="00077476">
        <w:rPr>
          <w:rFonts w:ascii="Century Schoolbook" w:hAnsi="Century Schoolbook"/>
          <w:sz w:val="24"/>
        </w:rPr>
        <w:lastRenderedPageBreak/>
        <w:t>It does say that DEP is “kicking off its program” …with an “open house” so it’s not at the same level as a meeting or hearing but nonetheless you may want to remind them now that you’re watching and that public participation is one of the required nine elements of a LTCP that we expect to see and look forward to becoming involved with – and that they shouldn't schedule future meetings at inconvenient locations and dates</w:t>
      </w:r>
    </w:p>
    <w:p w:rsidR="00077476" w:rsidRPr="00077476" w:rsidRDefault="00077476" w:rsidP="00077476">
      <w:pPr>
        <w:rPr>
          <w:rFonts w:ascii="Century Schoolbook" w:hAnsi="Century Schoolbook"/>
          <w:sz w:val="24"/>
        </w:rPr>
      </w:pPr>
      <w:r w:rsidRPr="00077476">
        <w:rPr>
          <w:rFonts w:ascii="Century Schoolbook" w:hAnsi="Century Schoolbook"/>
          <w:sz w:val="24"/>
        </w:rPr>
        <w:t>Some ammunition from the links below:</w:t>
      </w: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 </w:t>
      </w:r>
    </w:p>
    <w:p w:rsidR="00077476" w:rsidRPr="00077476" w:rsidRDefault="00077476" w:rsidP="00077476">
      <w:pPr>
        <w:rPr>
          <w:rFonts w:ascii="Century Schoolbook" w:hAnsi="Century Schoolbook"/>
          <w:sz w:val="24"/>
        </w:rPr>
      </w:pPr>
      <w:r w:rsidRPr="00077476">
        <w:rPr>
          <w:rFonts w:ascii="Century Schoolbook" w:hAnsi="Century Schoolbook"/>
          <w:sz w:val="24"/>
        </w:rPr>
        <w:t>Ensure public involvement during the decision-making process.</w:t>
      </w: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 </w:t>
      </w:r>
    </w:p>
    <w:p w:rsidR="00077476" w:rsidRPr="00077476" w:rsidRDefault="00077476" w:rsidP="00077476">
      <w:pPr>
        <w:rPr>
          <w:rFonts w:ascii="Century Schoolbook" w:hAnsi="Century Schoolbook"/>
          <w:sz w:val="24"/>
        </w:rPr>
      </w:pPr>
      <w:r w:rsidRPr="00077476">
        <w:rPr>
          <w:rFonts w:ascii="Century Schoolbook" w:hAnsi="Century Schoolbook"/>
          <w:sz w:val="24"/>
        </w:rPr>
        <w:t>…emphasizes the role of public participation and agency interaction</w:t>
      </w: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 </w:t>
      </w:r>
    </w:p>
    <w:p w:rsidR="00077476" w:rsidRPr="00077476" w:rsidRDefault="00077476" w:rsidP="00077476">
      <w:pPr>
        <w:rPr>
          <w:rFonts w:ascii="Century Schoolbook" w:hAnsi="Century Schoolbook"/>
          <w:sz w:val="24"/>
        </w:rPr>
      </w:pPr>
      <w:proofErr w:type="gramStart"/>
      <w:r w:rsidRPr="00077476">
        <w:rPr>
          <w:rFonts w:ascii="Century Schoolbook" w:hAnsi="Century Schoolbook"/>
          <w:sz w:val="24"/>
        </w:rPr>
        <w:t>the</w:t>
      </w:r>
      <w:proofErr w:type="gramEnd"/>
      <w:r w:rsidRPr="00077476">
        <w:rPr>
          <w:rFonts w:ascii="Century Schoolbook" w:hAnsi="Century Schoolbook"/>
          <w:sz w:val="24"/>
        </w:rPr>
        <w:t xml:space="preserve"> nine elements of the LTCP are: 2. A public participation process that actively involves the affected public in the decision-making to select long-term CSO controls</w:t>
      </w: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 </w:t>
      </w:r>
    </w:p>
    <w:p w:rsidR="00077476" w:rsidRPr="00077476" w:rsidRDefault="00077476" w:rsidP="00077476">
      <w:pPr>
        <w:rPr>
          <w:rFonts w:ascii="Century Schoolbook" w:hAnsi="Century Schoolbook"/>
          <w:sz w:val="24"/>
        </w:rPr>
      </w:pPr>
      <w:r w:rsidRPr="00077476">
        <w:rPr>
          <w:rFonts w:ascii="Century Schoolbook" w:hAnsi="Century Schoolbook"/>
          <w:sz w:val="24"/>
        </w:rPr>
        <w:t>Public meetings and public hearings can provide an effective forum to present technical information and obtain input from interested individuals and organizations. [</w:t>
      </w:r>
      <w:proofErr w:type="gramStart"/>
      <w:r w:rsidRPr="00077476">
        <w:rPr>
          <w:rFonts w:ascii="Century Schoolbook" w:hAnsi="Century Schoolbook"/>
          <w:sz w:val="24"/>
        </w:rPr>
        <w:t>note</w:t>
      </w:r>
      <w:proofErr w:type="gramEnd"/>
      <w:r w:rsidRPr="00077476">
        <w:rPr>
          <w:rFonts w:ascii="Century Schoolbook" w:hAnsi="Century Schoolbook"/>
          <w:sz w:val="24"/>
        </w:rPr>
        <w:t xml:space="preserve"> use of plural for meetings and hearings)</w:t>
      </w: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 </w:t>
      </w:r>
    </w:p>
    <w:p w:rsidR="00077476" w:rsidRPr="00077476" w:rsidRDefault="00077476" w:rsidP="00077476">
      <w:pPr>
        <w:rPr>
          <w:rFonts w:ascii="Century Schoolbook" w:hAnsi="Century Schoolbook"/>
          <w:sz w:val="24"/>
        </w:rPr>
      </w:pPr>
      <w:r w:rsidRPr="00077476">
        <w:rPr>
          <w:rFonts w:ascii="Century Schoolbook" w:hAnsi="Century Schoolbook"/>
          <w:sz w:val="24"/>
        </w:rPr>
        <w:t>The most appropriate mechanism for public notification will probably vary with local circumstances, such as the character and size of the use area and means of public access. The measure selected should be the most cost-effective measure that provides reasonable assurance that the affected public is informed in a timely manner.</w:t>
      </w: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 </w:t>
      </w:r>
    </w:p>
    <w:p w:rsidR="00077476" w:rsidRPr="00077476" w:rsidRDefault="00077476" w:rsidP="00077476">
      <w:pPr>
        <w:rPr>
          <w:rFonts w:ascii="Century Schoolbook" w:hAnsi="Century Schoolbook"/>
          <w:sz w:val="24"/>
        </w:rPr>
      </w:pPr>
      <w:r w:rsidRPr="00077476">
        <w:rPr>
          <w:rFonts w:ascii="Century Schoolbook" w:hAnsi="Century Schoolbook"/>
          <w:sz w:val="24"/>
        </w:rPr>
        <w:t>Sources:</w:t>
      </w:r>
    </w:p>
    <w:p w:rsidR="00077476" w:rsidRPr="00077476" w:rsidRDefault="00077476" w:rsidP="00077476">
      <w:pPr>
        <w:rPr>
          <w:rFonts w:ascii="Century Schoolbook" w:hAnsi="Century Schoolbook"/>
          <w:sz w:val="24"/>
        </w:rPr>
      </w:pPr>
      <w:r w:rsidRPr="00077476">
        <w:rPr>
          <w:rFonts w:ascii="Century Schoolbook" w:hAnsi="Century Schoolbook"/>
          <w:sz w:val="24"/>
        </w:rPr>
        <w:t>http://www.epa.gov/npdes/pubs/owm0272.pdf</w:t>
      </w:r>
    </w:p>
    <w:p w:rsidR="00077476" w:rsidRPr="00077476" w:rsidRDefault="00077476" w:rsidP="00077476">
      <w:pPr>
        <w:rPr>
          <w:rFonts w:ascii="Century Schoolbook" w:hAnsi="Century Schoolbook"/>
          <w:sz w:val="24"/>
        </w:rPr>
      </w:pPr>
      <w:r w:rsidRPr="00077476">
        <w:rPr>
          <w:rFonts w:ascii="Century Schoolbook" w:hAnsi="Century Schoolbook"/>
          <w:sz w:val="24"/>
        </w:rPr>
        <w:t xml:space="preserve"> </w:t>
      </w:r>
    </w:p>
    <w:p w:rsidR="00077476" w:rsidRPr="00514D4B" w:rsidRDefault="00077476" w:rsidP="00077476">
      <w:pPr>
        <w:rPr>
          <w:rFonts w:ascii="Century Schoolbook" w:hAnsi="Century Schoolbook"/>
          <w:sz w:val="24"/>
        </w:rPr>
      </w:pPr>
      <w:r w:rsidRPr="00077476">
        <w:rPr>
          <w:rFonts w:ascii="Century Schoolbook" w:hAnsi="Century Schoolbook"/>
          <w:sz w:val="24"/>
        </w:rPr>
        <w:t>http://www.epa.gov/npdes/pubs/owm0030.pdf</w:t>
      </w:r>
    </w:p>
    <w:sectPr w:rsidR="00077476" w:rsidRPr="00514D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196" w:rsidRDefault="00146196" w:rsidP="00241CD9">
      <w:pPr>
        <w:spacing w:after="0" w:line="240" w:lineRule="auto"/>
      </w:pPr>
      <w:r>
        <w:separator/>
      </w:r>
    </w:p>
  </w:endnote>
  <w:endnote w:type="continuationSeparator" w:id="0">
    <w:p w:rsidR="00146196" w:rsidRDefault="00146196" w:rsidP="00241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196" w:rsidRDefault="00146196" w:rsidP="00241CD9">
      <w:pPr>
        <w:spacing w:after="0" w:line="240" w:lineRule="auto"/>
      </w:pPr>
      <w:r>
        <w:separator/>
      </w:r>
    </w:p>
  </w:footnote>
  <w:footnote w:type="continuationSeparator" w:id="0">
    <w:p w:rsidR="00146196" w:rsidRDefault="00146196" w:rsidP="00241CD9">
      <w:pPr>
        <w:spacing w:after="0" w:line="240" w:lineRule="auto"/>
      </w:pPr>
      <w:r>
        <w:continuationSeparator/>
      </w:r>
    </w:p>
  </w:footnote>
  <w:footnote w:id="1">
    <w:p w:rsidR="00241CD9" w:rsidRDefault="00241CD9">
      <w:pPr>
        <w:pStyle w:val="FootnoteText"/>
      </w:pPr>
      <w:r>
        <w:rPr>
          <w:rStyle w:val="FootnoteReference"/>
        </w:rPr>
        <w:footnoteRef/>
      </w:r>
      <w:r>
        <w:t xml:space="preserve"> O</w:t>
      </w:r>
      <w:r w:rsidRPr="00241CD9">
        <w:t xml:space="preserve">n Tuesday, June 26, 2012 from 3:00pm to 8:00pm (with presentations at 4 and 6:30 pm) at the Newtown Creek Wastewater Treatment Plant Visitor Center (329 </w:t>
      </w:r>
      <w:proofErr w:type="spellStart"/>
      <w:r w:rsidRPr="00241CD9">
        <w:t>Greenpoint</w:t>
      </w:r>
      <w:proofErr w:type="spellEnd"/>
      <w:r w:rsidRPr="00241CD9">
        <w:t xml:space="preserve"> Avenue, Brooklyn, NY 11222).  </w:t>
      </w:r>
    </w:p>
  </w:footnote>
  <w:footnote w:id="2">
    <w:p w:rsidR="004C09E8" w:rsidRDefault="004C09E8">
      <w:pPr>
        <w:pStyle w:val="FootnoteText"/>
      </w:pPr>
      <w:r>
        <w:rPr>
          <w:rStyle w:val="FootnoteReference"/>
        </w:rPr>
        <w:footnoteRef/>
      </w:r>
      <w:r>
        <w:t xml:space="preserve"> </w:t>
      </w:r>
      <w:r w:rsidRPr="004C09E8">
        <w:t xml:space="preserve">Public notification under the Federal CSO Policy should be reasonable, but informative. “The most appropriate mechanism for public notification will probably vary with local circumstances, such as the character and size of the use area and means of public access. The measure selected should be the most cost-effective measure that </w:t>
      </w:r>
      <w:r w:rsidRPr="00234482">
        <w:rPr>
          <w:highlight w:val="yellow"/>
        </w:rPr>
        <w:t>provides reasonable assurance that the affected public is informed in a timely manner</w:t>
      </w:r>
      <w:r w:rsidRPr="004C09E8">
        <w:t>.”</w:t>
      </w:r>
    </w:p>
  </w:footnote>
  <w:footnote w:id="3">
    <w:p w:rsidR="00241CD9" w:rsidRDefault="00241CD9">
      <w:pPr>
        <w:pStyle w:val="FootnoteText"/>
      </w:pPr>
      <w:r>
        <w:rPr>
          <w:rStyle w:val="FootnoteReference"/>
        </w:rPr>
        <w:footnoteRef/>
      </w:r>
      <w:r>
        <w:t xml:space="preserve"> </w:t>
      </w:r>
      <w:r w:rsidRPr="00241CD9">
        <w:t xml:space="preserve">Of the nine elements of the LTCP, number 2 is “A public participation process that actively involves the affected public in the decision-making to select long-term CSO controls.”  </w:t>
      </w:r>
    </w:p>
  </w:footnote>
  <w:footnote w:id="4">
    <w:p w:rsidR="004C09E8" w:rsidRDefault="004C09E8">
      <w:pPr>
        <w:pStyle w:val="FootnoteText"/>
      </w:pPr>
      <w:r>
        <w:rPr>
          <w:rStyle w:val="FootnoteReference"/>
        </w:rPr>
        <w:footnoteRef/>
      </w:r>
      <w:r>
        <w:t xml:space="preserve"> </w:t>
      </w:r>
      <w:r w:rsidRPr="004C09E8">
        <w:t xml:space="preserve">We expect that the LTCP should “ensure public involvement during the decision-making process.”  </w:t>
      </w:r>
    </w:p>
  </w:footnote>
  <w:footnote w:id="5">
    <w:p w:rsidR="004C09E8" w:rsidRDefault="004C09E8">
      <w:pPr>
        <w:pStyle w:val="FootnoteText"/>
      </w:pPr>
      <w:r>
        <w:rPr>
          <w:rStyle w:val="FootnoteReference"/>
        </w:rPr>
        <w:footnoteRef/>
      </w:r>
      <w:r>
        <w:t xml:space="preserve"> </w:t>
      </w:r>
      <w:r w:rsidRPr="004C09E8">
        <w:t xml:space="preserve">That activity should be interactive, that is, </w:t>
      </w:r>
      <w:r w:rsidRPr="004C09E8">
        <w:rPr>
          <w:i/>
        </w:rPr>
        <w:t>“emphasizes the role of public participation and agency interaction.”</w:t>
      </w:r>
      <w:r w:rsidRPr="004C09E8">
        <w:t xml:space="preserve">  </w:t>
      </w:r>
    </w:p>
  </w:footnote>
  <w:footnote w:id="6">
    <w:p w:rsidR="004C09E8" w:rsidRPr="004C09E8" w:rsidRDefault="004C09E8" w:rsidP="004C09E8">
      <w:pPr>
        <w:pStyle w:val="FootnoteText"/>
      </w:pPr>
      <w:r>
        <w:rPr>
          <w:rStyle w:val="FootnoteReference"/>
        </w:rPr>
        <w:footnoteRef/>
      </w:r>
      <w:r>
        <w:t xml:space="preserve"> </w:t>
      </w:r>
      <w:r w:rsidRPr="004C09E8">
        <w:t xml:space="preserve">The policy clearly proposes technical explanations, and more than one meeting and hearing, stating that </w:t>
      </w:r>
      <w:r w:rsidRPr="004C09E8">
        <w:rPr>
          <w:i/>
        </w:rPr>
        <w:t>“Public meetings and public hearings can provide an effective forum to present technical information and obtain input from interested individuals and organizations.”</w:t>
      </w:r>
    </w:p>
    <w:p w:rsidR="004C09E8" w:rsidRDefault="004C09E8">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D4B"/>
    <w:rsid w:val="00077476"/>
    <w:rsid w:val="000D0772"/>
    <w:rsid w:val="00146196"/>
    <w:rsid w:val="00234482"/>
    <w:rsid w:val="00241CD9"/>
    <w:rsid w:val="004B09E1"/>
    <w:rsid w:val="004C09E8"/>
    <w:rsid w:val="00514D4B"/>
    <w:rsid w:val="005A62FB"/>
    <w:rsid w:val="0063737A"/>
    <w:rsid w:val="00641244"/>
    <w:rsid w:val="006E6B21"/>
    <w:rsid w:val="009937A8"/>
    <w:rsid w:val="00A6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4B"/>
    <w:rPr>
      <w:color w:val="0000FF" w:themeColor="hyperlink"/>
      <w:u w:val="single"/>
    </w:rPr>
  </w:style>
  <w:style w:type="character" w:styleId="FollowedHyperlink">
    <w:name w:val="FollowedHyperlink"/>
    <w:basedOn w:val="DefaultParagraphFont"/>
    <w:uiPriority w:val="99"/>
    <w:semiHidden/>
    <w:unhideWhenUsed/>
    <w:rsid w:val="00077476"/>
    <w:rPr>
      <w:color w:val="800080" w:themeColor="followedHyperlink"/>
      <w:u w:val="single"/>
    </w:rPr>
  </w:style>
  <w:style w:type="paragraph" w:styleId="FootnoteText">
    <w:name w:val="footnote text"/>
    <w:basedOn w:val="Normal"/>
    <w:link w:val="FootnoteTextChar"/>
    <w:uiPriority w:val="99"/>
    <w:semiHidden/>
    <w:unhideWhenUsed/>
    <w:rsid w:val="00241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CD9"/>
    <w:rPr>
      <w:sz w:val="20"/>
      <w:szCs w:val="20"/>
    </w:rPr>
  </w:style>
  <w:style w:type="character" w:styleId="FootnoteReference">
    <w:name w:val="footnote reference"/>
    <w:basedOn w:val="DefaultParagraphFont"/>
    <w:uiPriority w:val="99"/>
    <w:semiHidden/>
    <w:unhideWhenUsed/>
    <w:rsid w:val="00241C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D4B"/>
    <w:rPr>
      <w:color w:val="0000FF" w:themeColor="hyperlink"/>
      <w:u w:val="single"/>
    </w:rPr>
  </w:style>
  <w:style w:type="character" w:styleId="FollowedHyperlink">
    <w:name w:val="FollowedHyperlink"/>
    <w:basedOn w:val="DefaultParagraphFont"/>
    <w:uiPriority w:val="99"/>
    <w:semiHidden/>
    <w:unhideWhenUsed/>
    <w:rsid w:val="00077476"/>
    <w:rPr>
      <w:color w:val="800080" w:themeColor="followedHyperlink"/>
      <w:u w:val="single"/>
    </w:rPr>
  </w:style>
  <w:style w:type="paragraph" w:styleId="FootnoteText">
    <w:name w:val="footnote text"/>
    <w:basedOn w:val="Normal"/>
    <w:link w:val="FootnoteTextChar"/>
    <w:uiPriority w:val="99"/>
    <w:semiHidden/>
    <w:unhideWhenUsed/>
    <w:rsid w:val="00241C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CD9"/>
    <w:rPr>
      <w:sz w:val="20"/>
      <w:szCs w:val="20"/>
    </w:rPr>
  </w:style>
  <w:style w:type="character" w:styleId="FootnoteReference">
    <w:name w:val="footnote reference"/>
    <w:basedOn w:val="DefaultParagraphFont"/>
    <w:uiPriority w:val="99"/>
    <w:semiHidden/>
    <w:unhideWhenUsed/>
    <w:rsid w:val="00241C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32276">
      <w:bodyDiv w:val="1"/>
      <w:marLeft w:val="0"/>
      <w:marRight w:val="0"/>
      <w:marTop w:val="0"/>
      <w:marBottom w:val="0"/>
      <w:divBdr>
        <w:top w:val="none" w:sz="0" w:space="0" w:color="auto"/>
        <w:left w:val="none" w:sz="0" w:space="0" w:color="auto"/>
        <w:bottom w:val="none" w:sz="0" w:space="0" w:color="auto"/>
        <w:right w:val="none" w:sz="0" w:space="0" w:color="auto"/>
      </w:divBdr>
    </w:div>
    <w:div w:id="826439842">
      <w:bodyDiv w:val="1"/>
      <w:marLeft w:val="0"/>
      <w:marRight w:val="0"/>
      <w:marTop w:val="0"/>
      <w:marBottom w:val="0"/>
      <w:divBdr>
        <w:top w:val="none" w:sz="0" w:space="0" w:color="auto"/>
        <w:left w:val="none" w:sz="0" w:space="0" w:color="auto"/>
        <w:bottom w:val="none" w:sz="0" w:space="0" w:color="auto"/>
        <w:right w:val="none" w:sz="0" w:space="0" w:color="auto"/>
      </w:divBdr>
      <w:divsChild>
        <w:div w:id="1234438268">
          <w:marLeft w:val="0"/>
          <w:marRight w:val="0"/>
          <w:marTop w:val="0"/>
          <w:marBottom w:val="0"/>
          <w:divBdr>
            <w:top w:val="none" w:sz="0" w:space="0" w:color="auto"/>
            <w:left w:val="none" w:sz="0" w:space="0" w:color="auto"/>
            <w:bottom w:val="none" w:sz="0" w:space="0" w:color="auto"/>
            <w:right w:val="none" w:sz="0" w:space="0" w:color="auto"/>
          </w:divBdr>
        </w:div>
        <w:div w:id="105857994">
          <w:marLeft w:val="0"/>
          <w:marRight w:val="0"/>
          <w:marTop w:val="0"/>
          <w:marBottom w:val="0"/>
          <w:divBdr>
            <w:top w:val="none" w:sz="0" w:space="0" w:color="auto"/>
            <w:left w:val="none" w:sz="0" w:space="0" w:color="auto"/>
            <w:bottom w:val="none" w:sz="0" w:space="0" w:color="auto"/>
            <w:right w:val="none" w:sz="0" w:space="0" w:color="auto"/>
          </w:divBdr>
        </w:div>
        <w:div w:id="961611387">
          <w:marLeft w:val="0"/>
          <w:marRight w:val="0"/>
          <w:marTop w:val="0"/>
          <w:marBottom w:val="0"/>
          <w:divBdr>
            <w:top w:val="none" w:sz="0" w:space="0" w:color="auto"/>
            <w:left w:val="none" w:sz="0" w:space="0" w:color="auto"/>
            <w:bottom w:val="none" w:sz="0" w:space="0" w:color="auto"/>
            <w:right w:val="none" w:sz="0" w:space="0" w:color="auto"/>
          </w:divBdr>
        </w:div>
        <w:div w:id="583144588">
          <w:marLeft w:val="0"/>
          <w:marRight w:val="0"/>
          <w:marTop w:val="0"/>
          <w:marBottom w:val="0"/>
          <w:divBdr>
            <w:top w:val="none" w:sz="0" w:space="0" w:color="auto"/>
            <w:left w:val="none" w:sz="0" w:space="0" w:color="auto"/>
            <w:bottom w:val="none" w:sz="0" w:space="0" w:color="auto"/>
            <w:right w:val="none" w:sz="0" w:space="0" w:color="auto"/>
          </w:divBdr>
        </w:div>
        <w:div w:id="1506437686">
          <w:marLeft w:val="0"/>
          <w:marRight w:val="0"/>
          <w:marTop w:val="0"/>
          <w:marBottom w:val="0"/>
          <w:divBdr>
            <w:top w:val="none" w:sz="0" w:space="0" w:color="auto"/>
            <w:left w:val="none" w:sz="0" w:space="0" w:color="auto"/>
            <w:bottom w:val="none" w:sz="0" w:space="0" w:color="auto"/>
            <w:right w:val="none" w:sz="0" w:space="0" w:color="auto"/>
          </w:divBdr>
        </w:div>
        <w:div w:id="799423252">
          <w:marLeft w:val="0"/>
          <w:marRight w:val="0"/>
          <w:marTop w:val="0"/>
          <w:marBottom w:val="0"/>
          <w:divBdr>
            <w:top w:val="none" w:sz="0" w:space="0" w:color="auto"/>
            <w:left w:val="none" w:sz="0" w:space="0" w:color="auto"/>
            <w:bottom w:val="none" w:sz="0" w:space="0" w:color="auto"/>
            <w:right w:val="none" w:sz="0" w:space="0" w:color="auto"/>
          </w:divBdr>
        </w:div>
        <w:div w:id="400643476">
          <w:marLeft w:val="0"/>
          <w:marRight w:val="0"/>
          <w:marTop w:val="0"/>
          <w:marBottom w:val="0"/>
          <w:divBdr>
            <w:top w:val="none" w:sz="0" w:space="0" w:color="auto"/>
            <w:left w:val="none" w:sz="0" w:space="0" w:color="auto"/>
            <w:bottom w:val="none" w:sz="0" w:space="0" w:color="auto"/>
            <w:right w:val="none" w:sz="0" w:space="0" w:color="auto"/>
          </w:divBdr>
        </w:div>
        <w:div w:id="661155420">
          <w:marLeft w:val="0"/>
          <w:marRight w:val="0"/>
          <w:marTop w:val="0"/>
          <w:marBottom w:val="0"/>
          <w:divBdr>
            <w:top w:val="none" w:sz="0" w:space="0" w:color="auto"/>
            <w:left w:val="none" w:sz="0" w:space="0" w:color="auto"/>
            <w:bottom w:val="none" w:sz="0" w:space="0" w:color="auto"/>
            <w:right w:val="none" w:sz="0" w:space="0" w:color="auto"/>
          </w:divBdr>
        </w:div>
        <w:div w:id="1577938806">
          <w:marLeft w:val="0"/>
          <w:marRight w:val="0"/>
          <w:marTop w:val="0"/>
          <w:marBottom w:val="0"/>
          <w:divBdr>
            <w:top w:val="none" w:sz="0" w:space="0" w:color="auto"/>
            <w:left w:val="none" w:sz="0" w:space="0" w:color="auto"/>
            <w:bottom w:val="none" w:sz="0" w:space="0" w:color="auto"/>
            <w:right w:val="none" w:sz="0" w:space="0" w:color="auto"/>
          </w:divBdr>
        </w:div>
        <w:div w:id="511378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jar@dep.nyc.gov" TargetMode="External"/><Relationship Id="rId13" Type="http://schemas.openxmlformats.org/officeDocument/2006/relationships/hyperlink" Target="mailto:llevine@nrdc.org" TargetMode="External"/><Relationship Id="rId18" Type="http://schemas.openxmlformats.org/officeDocument/2006/relationships/hyperlink" Target="mailto:tvpanzon@gw.dec.state.ny.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dartwestphal@gmail.com" TargetMode="External"/><Relationship Id="rId7" Type="http://schemas.openxmlformats.org/officeDocument/2006/relationships/endnotes" Target="endnotes.xml"/><Relationship Id="rId12" Type="http://schemas.openxmlformats.org/officeDocument/2006/relationships/hyperlink" Target="mailto:dartwestphal@gmail.com" TargetMode="External"/><Relationship Id="rId17" Type="http://schemas.openxmlformats.org/officeDocument/2006/relationships/hyperlink" Target="mailto:SOjar@dep.nyc.gov" TargetMode="External"/><Relationship Id="rId25" Type="http://schemas.openxmlformats.org/officeDocument/2006/relationships/hyperlink" Target="http://www.epa.gov/npdes/pubs/owm0030.pdf" TargetMode="External"/><Relationship Id="rId2" Type="http://schemas.openxmlformats.org/officeDocument/2006/relationships/styles" Target="styles.xml"/><Relationship Id="rId16" Type="http://schemas.openxmlformats.org/officeDocument/2006/relationships/hyperlink" Target="http://www.epa.gov/npdes/pubs/owm0030.pdf" TargetMode="External"/><Relationship Id="rId20" Type="http://schemas.openxmlformats.org/officeDocument/2006/relationships/hyperlink" Target="mailto:walter.matystik@manhattan.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matystik@manhattan.edu" TargetMode="External"/><Relationship Id="rId24" Type="http://schemas.openxmlformats.org/officeDocument/2006/relationships/hyperlink" Target="http://www.epa.gov/npdes/pubs/owm0272.pdf" TargetMode="External"/><Relationship Id="rId5" Type="http://schemas.openxmlformats.org/officeDocument/2006/relationships/webSettings" Target="webSettings.xml"/><Relationship Id="rId15" Type="http://schemas.openxmlformats.org/officeDocument/2006/relationships/hyperlink" Target="http://www.epa.gov/npdes/pubs/owm0272.pdf" TargetMode="External"/><Relationship Id="rId23" Type="http://schemas.openxmlformats.org/officeDocument/2006/relationships/hyperlink" Target="mailto:robin.kriesberg@gmail.com" TargetMode="External"/><Relationship Id="rId10" Type="http://schemas.openxmlformats.org/officeDocument/2006/relationships/hyperlink" Target="mailto:Gratz.Jeff@epa.gov" TargetMode="External"/><Relationship Id="rId19" Type="http://schemas.openxmlformats.org/officeDocument/2006/relationships/hyperlink" Target="mailto:Gratz.Jeff@epa.gov" TargetMode="External"/><Relationship Id="rId4" Type="http://schemas.openxmlformats.org/officeDocument/2006/relationships/settings" Target="settings.xml"/><Relationship Id="rId9" Type="http://schemas.openxmlformats.org/officeDocument/2006/relationships/hyperlink" Target="mailto:tvpanzon@gw.dec.state.ny.us" TargetMode="External"/><Relationship Id="rId14" Type="http://schemas.openxmlformats.org/officeDocument/2006/relationships/hyperlink" Target="mailto:robin.kriesberg@gmail.com" TargetMode="External"/><Relationship Id="rId22" Type="http://schemas.openxmlformats.org/officeDocument/2006/relationships/hyperlink" Target="mailto:llevine@nrdc.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D7E76-5070-49DB-BA9B-4C449942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4</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4</cp:revision>
  <dcterms:created xsi:type="dcterms:W3CDTF">2012-06-07T13:42:00Z</dcterms:created>
  <dcterms:modified xsi:type="dcterms:W3CDTF">2012-06-07T21:08:00Z</dcterms:modified>
</cp:coreProperties>
</file>